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rFonts w:ascii="方正楷体_GBK" w:hAnsi="Times New Roman" w:eastAsia="方正楷体_GBK"/>
          <w:b w:val="0"/>
          <w:bCs w:val="0"/>
          <w:sz w:val="52"/>
          <w:szCs w:val="52"/>
        </w:rPr>
      </w:pPr>
      <w:bookmarkStart w:id="0" w:name="_Toc24724705"/>
      <w:r>
        <w:rPr>
          <w:rFonts w:hint="eastAsia" w:ascii="方正楷体_GBK" w:hAnsi="Times New Roman" w:eastAsia="方正楷体_GBK"/>
          <w:b w:val="0"/>
          <w:bCs w:val="0"/>
          <w:sz w:val="52"/>
          <w:szCs w:val="52"/>
        </w:rPr>
        <w:t>保障性住房领域基层政务公开标准目录</w:t>
      </w:r>
      <w:bookmarkEnd w:id="0"/>
    </w:p>
    <w:tbl>
      <w:tblPr>
        <w:tblStyle w:val="5"/>
        <w:tblW w:w="16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858"/>
        <w:gridCol w:w="736"/>
        <w:gridCol w:w="2102"/>
        <w:gridCol w:w="3328"/>
        <w:gridCol w:w="1219"/>
        <w:gridCol w:w="1069"/>
        <w:gridCol w:w="1737"/>
        <w:gridCol w:w="769"/>
        <w:gridCol w:w="668"/>
        <w:gridCol w:w="166"/>
        <w:gridCol w:w="502"/>
        <w:gridCol w:w="883"/>
        <w:gridCol w:w="166"/>
        <w:gridCol w:w="309"/>
        <w:gridCol w:w="850"/>
        <w:gridCol w:w="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509" w:type="dxa"/>
            <w:vMerge w:val="restart"/>
            <w:vAlign w:val="center"/>
          </w:tcPr>
          <w:p>
            <w:pPr>
              <w:widowControl/>
              <w:jc w:val="center"/>
              <w:rPr>
                <w:rFonts w:ascii="方正黑体_GBK" w:hAnsi="Times New Roman" w:eastAsia="方正黑体_GBK" w:cs="Times New Roman"/>
                <w:color w:val="000000"/>
                <w:kern w:val="0"/>
                <w:szCs w:val="18"/>
              </w:rPr>
            </w:pPr>
            <w:r>
              <w:rPr>
                <w:rFonts w:hint="eastAsia" w:ascii="方正黑体_GBK" w:hAnsi="Times New Roman" w:eastAsia="方正黑体_GBK" w:cs="Times New Roman"/>
                <w:color w:val="000000"/>
                <w:kern w:val="0"/>
              </w:rPr>
              <w:t>序号</w:t>
            </w:r>
          </w:p>
        </w:tc>
        <w:tc>
          <w:tcPr>
            <w:tcW w:w="1594" w:type="dxa"/>
            <w:gridSpan w:val="2"/>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公开事项</w:t>
            </w:r>
          </w:p>
        </w:tc>
        <w:tc>
          <w:tcPr>
            <w:tcW w:w="2102" w:type="dxa"/>
            <w:vMerge w:val="restart"/>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公开内容（要素）</w:t>
            </w:r>
          </w:p>
        </w:tc>
        <w:tc>
          <w:tcPr>
            <w:tcW w:w="3328" w:type="dxa"/>
            <w:vMerge w:val="restart"/>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公开依据</w:t>
            </w:r>
          </w:p>
        </w:tc>
        <w:tc>
          <w:tcPr>
            <w:tcW w:w="1219" w:type="dxa"/>
            <w:vMerge w:val="restart"/>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公开</w:t>
            </w:r>
          </w:p>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时限</w:t>
            </w:r>
          </w:p>
        </w:tc>
        <w:tc>
          <w:tcPr>
            <w:tcW w:w="1069" w:type="dxa"/>
            <w:vMerge w:val="restart"/>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公开</w:t>
            </w:r>
          </w:p>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主体</w:t>
            </w:r>
          </w:p>
        </w:tc>
        <w:tc>
          <w:tcPr>
            <w:tcW w:w="1737" w:type="dxa"/>
            <w:vMerge w:val="restart"/>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公开渠道和载体</w:t>
            </w:r>
          </w:p>
        </w:tc>
        <w:tc>
          <w:tcPr>
            <w:tcW w:w="1603" w:type="dxa"/>
            <w:gridSpan w:val="3"/>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公开对象</w:t>
            </w:r>
          </w:p>
        </w:tc>
        <w:tc>
          <w:tcPr>
            <w:tcW w:w="1551" w:type="dxa"/>
            <w:gridSpan w:val="3"/>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公开方式</w:t>
            </w:r>
          </w:p>
        </w:tc>
        <w:tc>
          <w:tcPr>
            <w:tcW w:w="1325" w:type="dxa"/>
            <w:gridSpan w:val="3"/>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1077" w:hRule="atLeast"/>
          <w:jc w:val="center"/>
        </w:trPr>
        <w:tc>
          <w:tcPr>
            <w:tcW w:w="509" w:type="dxa"/>
            <w:vMerge w:val="continue"/>
            <w:vAlign w:val="center"/>
          </w:tcPr>
          <w:p>
            <w:pPr>
              <w:widowControl/>
              <w:jc w:val="center"/>
              <w:rPr>
                <w:rFonts w:ascii="方正黑体_GBK" w:hAnsi="Times New Roman" w:eastAsia="方正黑体_GBK" w:cs="Times New Roman"/>
                <w:color w:val="000000"/>
                <w:kern w:val="0"/>
                <w:szCs w:val="18"/>
              </w:rPr>
            </w:pPr>
          </w:p>
        </w:tc>
        <w:tc>
          <w:tcPr>
            <w:tcW w:w="858" w:type="dxa"/>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一级</w:t>
            </w:r>
          </w:p>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事项</w:t>
            </w:r>
          </w:p>
        </w:tc>
        <w:tc>
          <w:tcPr>
            <w:tcW w:w="736" w:type="dxa"/>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二级事项</w:t>
            </w:r>
          </w:p>
        </w:tc>
        <w:tc>
          <w:tcPr>
            <w:tcW w:w="2102" w:type="dxa"/>
            <w:vMerge w:val="continue"/>
            <w:vAlign w:val="center"/>
          </w:tcPr>
          <w:p>
            <w:pPr>
              <w:widowControl/>
              <w:jc w:val="center"/>
              <w:rPr>
                <w:rFonts w:ascii="方正黑体_GBK" w:hAnsi="Times New Roman" w:eastAsia="方正黑体_GBK" w:cs="Times New Roman"/>
                <w:color w:val="000000"/>
                <w:kern w:val="0"/>
              </w:rPr>
            </w:pPr>
          </w:p>
        </w:tc>
        <w:tc>
          <w:tcPr>
            <w:tcW w:w="3328" w:type="dxa"/>
            <w:vMerge w:val="continue"/>
            <w:vAlign w:val="center"/>
          </w:tcPr>
          <w:p>
            <w:pPr>
              <w:widowControl/>
              <w:jc w:val="center"/>
              <w:rPr>
                <w:rFonts w:ascii="方正黑体_GBK" w:hAnsi="Times New Roman" w:eastAsia="方正黑体_GBK" w:cs="Times New Roman"/>
                <w:color w:val="000000"/>
                <w:kern w:val="0"/>
              </w:rPr>
            </w:pPr>
          </w:p>
        </w:tc>
        <w:tc>
          <w:tcPr>
            <w:tcW w:w="1219" w:type="dxa"/>
            <w:vMerge w:val="continue"/>
            <w:vAlign w:val="center"/>
          </w:tcPr>
          <w:p>
            <w:pPr>
              <w:widowControl/>
              <w:jc w:val="center"/>
              <w:rPr>
                <w:rFonts w:ascii="方正黑体_GBK" w:hAnsi="Times New Roman" w:eastAsia="方正黑体_GBK" w:cs="Times New Roman"/>
                <w:color w:val="000000"/>
                <w:kern w:val="0"/>
              </w:rPr>
            </w:pPr>
          </w:p>
        </w:tc>
        <w:tc>
          <w:tcPr>
            <w:tcW w:w="1069" w:type="dxa"/>
            <w:vMerge w:val="continue"/>
            <w:vAlign w:val="center"/>
          </w:tcPr>
          <w:p>
            <w:pPr>
              <w:widowControl/>
              <w:jc w:val="center"/>
              <w:rPr>
                <w:rFonts w:ascii="方正黑体_GBK" w:hAnsi="Times New Roman" w:eastAsia="方正黑体_GBK" w:cs="Times New Roman"/>
                <w:color w:val="000000"/>
                <w:kern w:val="0"/>
              </w:rPr>
            </w:pPr>
          </w:p>
        </w:tc>
        <w:tc>
          <w:tcPr>
            <w:tcW w:w="1737" w:type="dxa"/>
            <w:vMerge w:val="continue"/>
            <w:vAlign w:val="center"/>
          </w:tcPr>
          <w:p>
            <w:pPr>
              <w:widowControl/>
              <w:jc w:val="center"/>
              <w:rPr>
                <w:rFonts w:ascii="方正黑体_GBK" w:hAnsi="Times New Roman" w:eastAsia="方正黑体_GBK" w:cs="Times New Roman"/>
                <w:color w:val="000000"/>
                <w:kern w:val="0"/>
              </w:rPr>
            </w:pPr>
          </w:p>
        </w:tc>
        <w:tc>
          <w:tcPr>
            <w:tcW w:w="769" w:type="dxa"/>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全社会</w:t>
            </w:r>
          </w:p>
        </w:tc>
        <w:tc>
          <w:tcPr>
            <w:tcW w:w="668" w:type="dxa"/>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特定</w:t>
            </w:r>
          </w:p>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群众</w:t>
            </w:r>
          </w:p>
        </w:tc>
        <w:tc>
          <w:tcPr>
            <w:tcW w:w="668" w:type="dxa"/>
            <w:gridSpan w:val="2"/>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主动</w:t>
            </w:r>
          </w:p>
        </w:tc>
        <w:tc>
          <w:tcPr>
            <w:tcW w:w="883" w:type="dxa"/>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依申请公开</w:t>
            </w:r>
          </w:p>
        </w:tc>
        <w:tc>
          <w:tcPr>
            <w:tcW w:w="475" w:type="dxa"/>
            <w:gridSpan w:val="2"/>
            <w:vAlign w:val="center"/>
          </w:tcPr>
          <w:p>
            <w:pPr>
              <w:widowControl/>
              <w:jc w:val="center"/>
              <w:rPr>
                <w:rFonts w:ascii="方正黑体_GBK" w:hAnsi="Times New Roman" w:eastAsia="方正黑体_GBK" w:cs="Times New Roman"/>
                <w:color w:val="000000"/>
                <w:kern w:val="0"/>
              </w:rPr>
            </w:pPr>
          </w:p>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区</w:t>
            </w:r>
          </w:p>
        </w:tc>
        <w:tc>
          <w:tcPr>
            <w:tcW w:w="850" w:type="dxa"/>
            <w:vAlign w:val="center"/>
          </w:tcPr>
          <w:p>
            <w:pPr>
              <w:widowControl/>
              <w:jc w:val="center"/>
              <w:rPr>
                <w:rFonts w:ascii="方正黑体_GBK" w:hAnsi="Times New Roman" w:eastAsia="方正黑体_GBK" w:cs="Times New Roman"/>
                <w:color w:val="000000"/>
                <w:kern w:val="0"/>
              </w:rPr>
            </w:pPr>
            <w:r>
              <w:rPr>
                <w:rFonts w:hint="eastAsia" w:ascii="方正黑体_GBK" w:hAnsi="Times New Roman" w:eastAsia="方正黑体_GBK" w:cs="Times New Roman"/>
                <w:color w:val="000000"/>
                <w:kern w:val="0"/>
              </w:rPr>
              <w:t xml:space="preserve"> 街道、社区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36" w:hRule="atLeast"/>
          <w:jc w:val="center"/>
        </w:trPr>
        <w:tc>
          <w:tcPr>
            <w:tcW w:w="509" w:type="dxa"/>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1</w:t>
            </w:r>
          </w:p>
        </w:tc>
        <w:tc>
          <w:tcPr>
            <w:tcW w:w="858"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法规政策</w:t>
            </w:r>
          </w:p>
        </w:tc>
        <w:tc>
          <w:tcPr>
            <w:tcW w:w="736"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●文件名称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●文号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●发布部门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●发布日期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●实施日期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●正文</w:t>
            </w:r>
          </w:p>
        </w:tc>
        <w:tc>
          <w:tcPr>
            <w:tcW w:w="3328"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《已购公有住房和经济适用住房上市出售管理暂行办法》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《廉租住房保障办法》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《经济适用住房管理办法》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 财政部 国家发改委关于公共租赁住房和廉租住房并轨运行的通知》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《国务院办公厅印发〈关于全面推进政务公开工作的意见〉实施细则的通知》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《住房和城乡建设部 财政部关于做好城镇住房保障家庭租赁补贴工作的指导意见》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《公共租赁住房资产管理暂行办法》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《住房和城乡建设部 国家发展改革委 财政部 自然资源部关于进一步规范发展公租房的意见》</w:t>
            </w:r>
          </w:p>
          <w:p>
            <w:pPr>
              <w:rPr>
                <w:rFonts w:ascii="Times New Roman" w:hAnsi="Times New Roman" w:eastAsia="仿宋_GB2312" w:cs="Times New Roman"/>
                <w:color w:val="000000"/>
                <w:sz w:val="18"/>
                <w:szCs w:val="18"/>
              </w:rPr>
            </w:pPr>
          </w:p>
        </w:tc>
        <w:tc>
          <w:tcPr>
            <w:tcW w:w="1219"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信息获取（形成变更）20个工作日内</w:t>
            </w:r>
          </w:p>
          <w:p>
            <w:pPr>
              <w:rPr>
                <w:rFonts w:ascii="Times New Roman" w:hAnsi="Times New Roman" w:eastAsia="仿宋_GB2312" w:cs="Times New Roman"/>
                <w:color w:val="000000"/>
                <w:sz w:val="18"/>
                <w:szCs w:val="18"/>
              </w:rPr>
            </w:pPr>
          </w:p>
        </w:tc>
        <w:tc>
          <w:tcPr>
            <w:tcW w:w="1069"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人民政府住房保障行政主管部门</w:t>
            </w:r>
          </w:p>
          <w:p>
            <w:pPr>
              <w:rPr>
                <w:rFonts w:ascii="Times New Roman" w:hAnsi="Times New Roman" w:eastAsia="仿宋_GB2312" w:cs="Times New Roman"/>
                <w:color w:val="000000"/>
                <w:sz w:val="18"/>
                <w:szCs w:val="18"/>
              </w:rPr>
            </w:pPr>
          </w:p>
        </w:tc>
        <w:tc>
          <w:tcPr>
            <w:tcW w:w="1737"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p>
            <w:pPr>
              <w:rPr>
                <w:rFonts w:ascii="Times New Roman" w:hAnsi="Times New Roman" w:eastAsia="仿宋_GB2312" w:cs="Times New Roman"/>
                <w:color w:val="000000"/>
                <w:sz w:val="18"/>
                <w:szCs w:val="18"/>
              </w:rPr>
            </w:pPr>
          </w:p>
        </w:tc>
        <w:tc>
          <w:tcPr>
            <w:tcW w:w="769" w:type="dxa"/>
            <w:vMerge w:val="restart"/>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p>
            <w:pPr>
              <w:jc w:val="center"/>
              <w:rPr>
                <w:rFonts w:ascii="Times New Roman" w:hAnsi="Times New Roman" w:eastAsia="仿宋_GB2312" w:cs="Times New Roman"/>
                <w:color w:val="000000"/>
                <w:sz w:val="18"/>
                <w:szCs w:val="18"/>
              </w:rPr>
            </w:pPr>
          </w:p>
        </w:tc>
        <w:tc>
          <w:tcPr>
            <w:tcW w:w="668" w:type="dxa"/>
            <w:vMerge w:val="restart"/>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　</w:t>
            </w:r>
          </w:p>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　</w:t>
            </w:r>
          </w:p>
        </w:tc>
        <w:tc>
          <w:tcPr>
            <w:tcW w:w="668" w:type="dxa"/>
            <w:gridSpan w:val="2"/>
            <w:vMerge w:val="restart"/>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p>
            <w:pPr>
              <w:jc w:val="center"/>
              <w:rPr>
                <w:rFonts w:ascii="Times New Roman" w:hAnsi="Times New Roman" w:eastAsia="仿宋_GB2312" w:cs="Times New Roman"/>
                <w:color w:val="000000"/>
                <w:sz w:val="18"/>
                <w:szCs w:val="18"/>
              </w:rPr>
            </w:pPr>
          </w:p>
        </w:tc>
        <w:tc>
          <w:tcPr>
            <w:tcW w:w="883" w:type="dxa"/>
            <w:vMerge w:val="restart"/>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　</w:t>
            </w:r>
          </w:p>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　</w:t>
            </w: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jc w:val="center"/>
              <w:rPr>
                <w:rFonts w:ascii="Times New Roman" w:hAnsi="Times New Roman" w:eastAsia="仿宋_GB2312" w:cs="Times New Roman"/>
                <w:color w:val="000000"/>
                <w:sz w:val="18"/>
                <w:szCs w:val="18"/>
              </w:rPr>
            </w:pPr>
            <w:r>
              <w:rPr>
                <w:rFonts w:ascii="Times New Roman" w:hAnsi="Times New Roman" w:eastAsia="仿宋_GB2312" w:cs="Times New Roman"/>
                <w:color w:val="000000"/>
                <w:sz w:val="18"/>
                <w:szCs w:val="18"/>
              </w:rPr>
              <w:t>2</w:t>
            </w:r>
          </w:p>
        </w:tc>
        <w:tc>
          <w:tcPr>
            <w:tcW w:w="858"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法规政策</w:t>
            </w:r>
          </w:p>
        </w:tc>
        <w:tc>
          <w:tcPr>
            <w:tcW w:w="736"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政策文件</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●文件名称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●文号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●发布部门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●发布日期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●实施日期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●正文</w:t>
            </w:r>
          </w:p>
        </w:tc>
        <w:tc>
          <w:tcPr>
            <w:tcW w:w="3328" w:type="dxa"/>
            <w:vMerge w:val="continue"/>
            <w:vAlign w:val="center"/>
          </w:tcPr>
          <w:p>
            <w:pPr>
              <w:rPr>
                <w:rFonts w:ascii="Times New Roman" w:hAnsi="Times New Roman" w:eastAsia="仿宋_GB2312" w:cs="Times New Roman"/>
                <w:color w:val="000000"/>
                <w:sz w:val="18"/>
                <w:szCs w:val="18"/>
              </w:rPr>
            </w:pPr>
          </w:p>
        </w:tc>
        <w:tc>
          <w:tcPr>
            <w:tcW w:w="1219" w:type="dxa"/>
            <w:vMerge w:val="continue"/>
            <w:vAlign w:val="center"/>
          </w:tcPr>
          <w:p>
            <w:pPr>
              <w:jc w:val="center"/>
              <w:rPr>
                <w:rFonts w:ascii="Times New Roman" w:hAnsi="Times New Roman" w:eastAsia="仿宋_GB2312" w:cs="Times New Roman"/>
                <w:color w:val="000000"/>
                <w:sz w:val="18"/>
                <w:szCs w:val="18"/>
              </w:rPr>
            </w:pPr>
          </w:p>
        </w:tc>
        <w:tc>
          <w:tcPr>
            <w:tcW w:w="1069" w:type="dxa"/>
            <w:vMerge w:val="continue"/>
            <w:vAlign w:val="center"/>
          </w:tcPr>
          <w:p>
            <w:pPr>
              <w:rPr>
                <w:rFonts w:ascii="Times New Roman" w:hAnsi="Times New Roman" w:eastAsia="仿宋_GB2312" w:cs="Times New Roman"/>
                <w:color w:val="000000"/>
                <w:sz w:val="18"/>
                <w:szCs w:val="18"/>
              </w:rPr>
            </w:pPr>
          </w:p>
        </w:tc>
        <w:tc>
          <w:tcPr>
            <w:tcW w:w="1737" w:type="dxa"/>
            <w:vMerge w:val="continue"/>
            <w:vAlign w:val="center"/>
          </w:tcPr>
          <w:p>
            <w:pPr>
              <w:rPr>
                <w:rFonts w:ascii="Times New Roman" w:hAnsi="Times New Roman" w:eastAsia="仿宋_GB2312" w:cs="Times New Roman"/>
                <w:color w:val="000000"/>
                <w:sz w:val="18"/>
                <w:szCs w:val="18"/>
              </w:rPr>
            </w:pPr>
          </w:p>
        </w:tc>
        <w:tc>
          <w:tcPr>
            <w:tcW w:w="769" w:type="dxa"/>
            <w:vMerge w:val="continue"/>
            <w:vAlign w:val="center"/>
          </w:tcPr>
          <w:p>
            <w:pPr>
              <w:jc w:val="center"/>
              <w:rPr>
                <w:rFonts w:ascii="Times New Roman" w:hAnsi="Times New Roman" w:eastAsia="仿宋_GB2312" w:cs="Times New Roman"/>
                <w:color w:val="000000"/>
                <w:sz w:val="18"/>
                <w:szCs w:val="18"/>
              </w:rPr>
            </w:pPr>
          </w:p>
        </w:tc>
        <w:tc>
          <w:tcPr>
            <w:tcW w:w="668" w:type="dxa"/>
            <w:vMerge w:val="continue"/>
            <w:vAlign w:val="center"/>
          </w:tcPr>
          <w:p>
            <w:pPr>
              <w:jc w:val="center"/>
              <w:rPr>
                <w:rFonts w:ascii="Times New Roman" w:hAnsi="Times New Roman" w:eastAsia="仿宋_GB2312" w:cs="Times New Roman"/>
                <w:color w:val="000000"/>
                <w:sz w:val="18"/>
                <w:szCs w:val="18"/>
              </w:rPr>
            </w:pPr>
          </w:p>
        </w:tc>
        <w:tc>
          <w:tcPr>
            <w:tcW w:w="668" w:type="dxa"/>
            <w:gridSpan w:val="2"/>
            <w:vMerge w:val="continue"/>
            <w:vAlign w:val="center"/>
          </w:tcPr>
          <w:p>
            <w:pPr>
              <w:jc w:val="center"/>
              <w:rPr>
                <w:rFonts w:ascii="Times New Roman" w:hAnsi="Times New Roman" w:eastAsia="仿宋_GB2312" w:cs="Times New Roman"/>
                <w:color w:val="000000"/>
                <w:sz w:val="18"/>
                <w:szCs w:val="18"/>
              </w:rPr>
            </w:pPr>
          </w:p>
        </w:tc>
        <w:tc>
          <w:tcPr>
            <w:tcW w:w="883" w:type="dxa"/>
            <w:vMerge w:val="continue"/>
            <w:vAlign w:val="center"/>
          </w:tcPr>
          <w:p>
            <w:pPr>
              <w:jc w:val="center"/>
              <w:rPr>
                <w:rFonts w:ascii="Times New Roman" w:hAnsi="Times New Roman" w:eastAsia="仿宋_GB2312" w:cs="Times New Roman"/>
                <w:color w:val="000000"/>
                <w:sz w:val="18"/>
                <w:szCs w:val="18"/>
              </w:rPr>
            </w:pPr>
          </w:p>
        </w:tc>
        <w:tc>
          <w:tcPr>
            <w:tcW w:w="475" w:type="dxa"/>
            <w:gridSpan w:val="2"/>
            <w:vMerge w:val="continue"/>
            <w:vAlign w:val="center"/>
          </w:tcPr>
          <w:p>
            <w:pPr>
              <w:rPr>
                <w:rFonts w:ascii="Times New Roman" w:hAnsi="Times New Roman" w:eastAsia="仿宋_GB2312" w:cs="Times New Roman"/>
                <w:color w:val="000000"/>
                <w:sz w:val="18"/>
                <w:szCs w:val="18"/>
              </w:rPr>
            </w:pPr>
          </w:p>
        </w:tc>
        <w:tc>
          <w:tcPr>
            <w:tcW w:w="850" w:type="dxa"/>
            <w:vMerge w:val="continue"/>
            <w:vAlign w:val="center"/>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jc w:val="cente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rPr>
              <w:t>3</w:t>
            </w:r>
          </w:p>
        </w:tc>
        <w:tc>
          <w:tcPr>
            <w:tcW w:w="858"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重大决策</w:t>
            </w:r>
          </w:p>
        </w:tc>
        <w:tc>
          <w:tcPr>
            <w:tcW w:w="736"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决策前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预公开</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●决策公开制度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〇调查研究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〇决策草案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●意见征集</w:t>
            </w:r>
          </w:p>
        </w:tc>
        <w:tc>
          <w:tcPr>
            <w:tcW w:w="3328"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《中华人民共和国政府信息公开条例》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《国务院办公厅印发〈关于全面推进政务公开工作的意见〉实施细则的通知》</w:t>
            </w:r>
          </w:p>
          <w:p>
            <w:pPr>
              <w:rPr>
                <w:rFonts w:ascii="Times New Roman" w:hAnsi="Times New Roman" w:eastAsia="仿宋_GB2312" w:cs="Times New Roman"/>
                <w:color w:val="000000"/>
                <w:sz w:val="18"/>
                <w:szCs w:val="18"/>
              </w:rPr>
            </w:pPr>
          </w:p>
        </w:tc>
        <w:tc>
          <w:tcPr>
            <w:tcW w:w="1219"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信息形成（变更）20个工作日内</w:t>
            </w:r>
          </w:p>
          <w:p>
            <w:pPr>
              <w:rPr>
                <w:rFonts w:ascii="Times New Roman" w:hAnsi="Times New Roman" w:eastAsia="仿宋_GB2312" w:cs="Times New Roman"/>
                <w:color w:val="000000"/>
                <w:sz w:val="18"/>
                <w:szCs w:val="18"/>
              </w:rPr>
            </w:pPr>
          </w:p>
        </w:tc>
        <w:tc>
          <w:tcPr>
            <w:tcW w:w="1069"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住房保障行政主管部门</w:t>
            </w:r>
          </w:p>
        </w:tc>
        <w:tc>
          <w:tcPr>
            <w:tcW w:w="1737"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p>
            <w:pPr>
              <w:rPr>
                <w:rFonts w:ascii="Times New Roman" w:hAnsi="Times New Roman" w:eastAsia="仿宋_GB2312" w:cs="Times New Roman"/>
                <w:color w:val="000000"/>
                <w:sz w:val="18"/>
                <w:szCs w:val="18"/>
              </w:rPr>
            </w:pP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jc w:val="cente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rPr>
              <w:t>4</w:t>
            </w:r>
          </w:p>
        </w:tc>
        <w:tc>
          <w:tcPr>
            <w:tcW w:w="858"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重大决策</w:t>
            </w:r>
          </w:p>
        </w:tc>
        <w:tc>
          <w:tcPr>
            <w:tcW w:w="736"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决策会议公开</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●会议名称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●会议时间地点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●会议结果</w:t>
            </w:r>
          </w:p>
        </w:tc>
        <w:tc>
          <w:tcPr>
            <w:tcW w:w="3328" w:type="dxa"/>
            <w:vMerge w:val="continue"/>
            <w:vAlign w:val="center"/>
          </w:tcPr>
          <w:p>
            <w:pPr>
              <w:rPr>
                <w:rFonts w:ascii="Times New Roman" w:hAnsi="Times New Roman" w:eastAsia="仿宋_GB2312" w:cs="Times New Roman"/>
                <w:color w:val="000000"/>
                <w:sz w:val="18"/>
                <w:szCs w:val="18"/>
              </w:rPr>
            </w:pPr>
          </w:p>
        </w:tc>
        <w:tc>
          <w:tcPr>
            <w:tcW w:w="1219" w:type="dxa"/>
            <w:vMerge w:val="continue"/>
            <w:vAlign w:val="center"/>
          </w:tcPr>
          <w:p>
            <w:pPr>
              <w:jc w:val="center"/>
              <w:rPr>
                <w:rFonts w:ascii="Times New Roman" w:hAnsi="Times New Roman" w:eastAsia="仿宋_GB2312" w:cs="Times New Roman"/>
                <w:color w:val="000000"/>
                <w:sz w:val="18"/>
                <w:szCs w:val="18"/>
              </w:rPr>
            </w:pPr>
          </w:p>
        </w:tc>
        <w:tc>
          <w:tcPr>
            <w:tcW w:w="1069"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住房保障行政主管部门</w:t>
            </w:r>
          </w:p>
        </w:tc>
        <w:tc>
          <w:tcPr>
            <w:tcW w:w="1737" w:type="dxa"/>
            <w:vMerge w:val="continue"/>
            <w:vAlign w:val="center"/>
          </w:tcPr>
          <w:p>
            <w:pPr>
              <w:rPr>
                <w:rFonts w:ascii="Times New Roman" w:hAnsi="Times New Roman" w:eastAsia="仿宋_GB2312" w:cs="Times New Roman"/>
                <w:color w:val="000000"/>
                <w:sz w:val="18"/>
                <w:szCs w:val="18"/>
              </w:rPr>
            </w:pPr>
          </w:p>
        </w:tc>
        <w:tc>
          <w:tcPr>
            <w:tcW w:w="769" w:type="dxa"/>
            <w:vMerge w:val="continue"/>
            <w:vAlign w:val="center"/>
          </w:tcPr>
          <w:p>
            <w:pPr>
              <w:jc w:val="center"/>
              <w:rPr>
                <w:rFonts w:ascii="Times New Roman" w:hAnsi="Times New Roman" w:eastAsia="仿宋_GB2312" w:cs="Times New Roman"/>
                <w:color w:val="000000"/>
                <w:sz w:val="18"/>
                <w:szCs w:val="18"/>
              </w:rPr>
            </w:pPr>
          </w:p>
        </w:tc>
        <w:tc>
          <w:tcPr>
            <w:tcW w:w="668" w:type="dxa"/>
            <w:vMerge w:val="continue"/>
            <w:vAlign w:val="center"/>
          </w:tcPr>
          <w:p>
            <w:pPr>
              <w:jc w:val="center"/>
              <w:rPr>
                <w:rFonts w:ascii="Times New Roman" w:hAnsi="Times New Roman" w:eastAsia="仿宋_GB2312" w:cs="Times New Roman"/>
                <w:color w:val="000000"/>
                <w:sz w:val="18"/>
                <w:szCs w:val="18"/>
              </w:rPr>
            </w:pPr>
          </w:p>
        </w:tc>
        <w:tc>
          <w:tcPr>
            <w:tcW w:w="668" w:type="dxa"/>
            <w:gridSpan w:val="2"/>
            <w:vMerge w:val="continue"/>
            <w:vAlign w:val="center"/>
          </w:tcPr>
          <w:p>
            <w:pPr>
              <w:jc w:val="center"/>
              <w:rPr>
                <w:rFonts w:ascii="Times New Roman" w:hAnsi="Times New Roman" w:eastAsia="仿宋_GB2312" w:cs="Times New Roman"/>
                <w:color w:val="000000"/>
                <w:sz w:val="18"/>
                <w:szCs w:val="18"/>
              </w:rPr>
            </w:pPr>
          </w:p>
        </w:tc>
        <w:tc>
          <w:tcPr>
            <w:tcW w:w="883" w:type="dxa"/>
            <w:vMerge w:val="continue"/>
            <w:vAlign w:val="center"/>
          </w:tcPr>
          <w:p>
            <w:pPr>
              <w:jc w:val="center"/>
              <w:rPr>
                <w:rFonts w:ascii="Times New Roman" w:hAnsi="Times New Roman" w:eastAsia="仿宋_GB2312" w:cs="Times New Roman"/>
                <w:color w:val="000000"/>
                <w:sz w:val="18"/>
                <w:szCs w:val="18"/>
              </w:rPr>
            </w:pPr>
          </w:p>
        </w:tc>
        <w:tc>
          <w:tcPr>
            <w:tcW w:w="475" w:type="dxa"/>
            <w:gridSpan w:val="2"/>
            <w:vMerge w:val="continue"/>
            <w:vAlign w:val="center"/>
          </w:tcPr>
          <w:p>
            <w:pPr>
              <w:rPr>
                <w:rFonts w:ascii="Times New Roman" w:hAnsi="Times New Roman" w:eastAsia="仿宋_GB2312" w:cs="Times New Roman"/>
                <w:color w:val="000000"/>
                <w:sz w:val="18"/>
                <w:szCs w:val="18"/>
              </w:rPr>
            </w:pPr>
          </w:p>
        </w:tc>
        <w:tc>
          <w:tcPr>
            <w:tcW w:w="850" w:type="dxa"/>
            <w:vMerge w:val="continue"/>
            <w:vAlign w:val="center"/>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jc w:val="cente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rPr>
              <w:t>5</w:t>
            </w:r>
          </w:p>
        </w:tc>
        <w:tc>
          <w:tcPr>
            <w:tcW w:w="858"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重大决策</w:t>
            </w:r>
          </w:p>
        </w:tc>
        <w:tc>
          <w:tcPr>
            <w:tcW w:w="736"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决策结果公开</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〇决策草案意见收集和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采纳情况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●保障性住房领域方案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公示公告通知等</w:t>
            </w:r>
          </w:p>
        </w:tc>
        <w:tc>
          <w:tcPr>
            <w:tcW w:w="3328" w:type="dxa"/>
            <w:vMerge w:val="continue"/>
            <w:vAlign w:val="center"/>
          </w:tcPr>
          <w:p>
            <w:pPr>
              <w:rPr>
                <w:rFonts w:ascii="Times New Roman" w:hAnsi="Times New Roman" w:eastAsia="仿宋_GB2312" w:cs="Times New Roman"/>
                <w:color w:val="000000"/>
                <w:sz w:val="18"/>
                <w:szCs w:val="18"/>
              </w:rPr>
            </w:pPr>
          </w:p>
        </w:tc>
        <w:tc>
          <w:tcPr>
            <w:tcW w:w="1219" w:type="dxa"/>
            <w:vMerge w:val="continue"/>
            <w:vAlign w:val="center"/>
          </w:tcPr>
          <w:p>
            <w:pPr>
              <w:jc w:val="center"/>
              <w:rPr>
                <w:rFonts w:ascii="Times New Roman" w:hAnsi="Times New Roman" w:eastAsia="仿宋_GB2312" w:cs="Times New Roman"/>
                <w:color w:val="000000"/>
                <w:sz w:val="18"/>
                <w:szCs w:val="18"/>
              </w:rPr>
            </w:pPr>
          </w:p>
        </w:tc>
        <w:tc>
          <w:tcPr>
            <w:tcW w:w="1069"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住房保障行政主管部门</w:t>
            </w:r>
          </w:p>
        </w:tc>
        <w:tc>
          <w:tcPr>
            <w:tcW w:w="1737" w:type="dxa"/>
            <w:vMerge w:val="continue"/>
            <w:vAlign w:val="center"/>
          </w:tcPr>
          <w:p>
            <w:pPr>
              <w:rPr>
                <w:rFonts w:ascii="Times New Roman" w:hAnsi="Times New Roman" w:eastAsia="仿宋_GB2312" w:cs="Times New Roman"/>
                <w:color w:val="000000"/>
                <w:sz w:val="18"/>
                <w:szCs w:val="18"/>
              </w:rPr>
            </w:pPr>
          </w:p>
        </w:tc>
        <w:tc>
          <w:tcPr>
            <w:tcW w:w="769" w:type="dxa"/>
            <w:vMerge w:val="continue"/>
            <w:vAlign w:val="center"/>
          </w:tcPr>
          <w:p>
            <w:pPr>
              <w:jc w:val="center"/>
              <w:rPr>
                <w:rFonts w:ascii="Times New Roman" w:hAnsi="Times New Roman" w:eastAsia="仿宋_GB2312" w:cs="Times New Roman"/>
                <w:color w:val="000000"/>
                <w:sz w:val="18"/>
                <w:szCs w:val="18"/>
              </w:rPr>
            </w:pPr>
          </w:p>
        </w:tc>
        <w:tc>
          <w:tcPr>
            <w:tcW w:w="668" w:type="dxa"/>
            <w:vMerge w:val="continue"/>
            <w:vAlign w:val="center"/>
          </w:tcPr>
          <w:p>
            <w:pPr>
              <w:jc w:val="center"/>
              <w:rPr>
                <w:rFonts w:ascii="Times New Roman" w:hAnsi="Times New Roman" w:eastAsia="仿宋_GB2312" w:cs="Times New Roman"/>
                <w:color w:val="000000"/>
                <w:sz w:val="18"/>
                <w:szCs w:val="18"/>
              </w:rPr>
            </w:pPr>
          </w:p>
        </w:tc>
        <w:tc>
          <w:tcPr>
            <w:tcW w:w="668" w:type="dxa"/>
            <w:gridSpan w:val="2"/>
            <w:vMerge w:val="continue"/>
            <w:vAlign w:val="center"/>
          </w:tcPr>
          <w:p>
            <w:pPr>
              <w:jc w:val="center"/>
              <w:rPr>
                <w:rFonts w:ascii="Times New Roman" w:hAnsi="Times New Roman" w:eastAsia="仿宋_GB2312" w:cs="Times New Roman"/>
                <w:color w:val="000000"/>
                <w:sz w:val="18"/>
                <w:szCs w:val="18"/>
              </w:rPr>
            </w:pPr>
          </w:p>
        </w:tc>
        <w:tc>
          <w:tcPr>
            <w:tcW w:w="883" w:type="dxa"/>
            <w:vMerge w:val="continue"/>
            <w:vAlign w:val="center"/>
          </w:tcPr>
          <w:p>
            <w:pPr>
              <w:jc w:val="center"/>
              <w:rPr>
                <w:rFonts w:ascii="Times New Roman" w:hAnsi="Times New Roman" w:eastAsia="仿宋_GB2312" w:cs="Times New Roman"/>
                <w:color w:val="000000"/>
                <w:sz w:val="18"/>
                <w:szCs w:val="18"/>
              </w:rPr>
            </w:pPr>
          </w:p>
        </w:tc>
        <w:tc>
          <w:tcPr>
            <w:tcW w:w="475" w:type="dxa"/>
            <w:gridSpan w:val="2"/>
            <w:vMerge w:val="continue"/>
            <w:vAlign w:val="center"/>
          </w:tcPr>
          <w:p>
            <w:pPr>
              <w:rPr>
                <w:rFonts w:ascii="Times New Roman" w:hAnsi="Times New Roman" w:eastAsia="仿宋_GB2312" w:cs="Times New Roman"/>
                <w:color w:val="000000"/>
                <w:sz w:val="18"/>
                <w:szCs w:val="18"/>
              </w:rPr>
            </w:pPr>
          </w:p>
        </w:tc>
        <w:tc>
          <w:tcPr>
            <w:tcW w:w="850" w:type="dxa"/>
            <w:vMerge w:val="continue"/>
            <w:vAlign w:val="center"/>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858"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规划计划</w:t>
            </w:r>
          </w:p>
        </w:tc>
        <w:tc>
          <w:tcPr>
            <w:tcW w:w="736"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中长期规划</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〇住房保障规划</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●保障性住房专项规划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w:t>
            </w:r>
          </w:p>
        </w:tc>
        <w:tc>
          <w:tcPr>
            <w:tcW w:w="3328"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《经济适用住房管理办法》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《住房城乡建设部办公厅关于做好2012年住房保障信息公开工作的通知》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《住房城乡建设部办公厅关于进一步加强住房保障信息公开工作的通知》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p>
        </w:tc>
        <w:tc>
          <w:tcPr>
            <w:tcW w:w="1219"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信息形成（变更）20个工作日内</w:t>
            </w:r>
          </w:p>
          <w:p>
            <w:pPr>
              <w:jc w:val="center"/>
              <w:rPr>
                <w:rFonts w:ascii="Times New Roman" w:hAnsi="Times New Roman" w:eastAsia="仿宋_GB2312" w:cs="Times New Roman"/>
                <w:color w:val="000000"/>
                <w:sz w:val="18"/>
                <w:szCs w:val="18"/>
              </w:rPr>
            </w:pPr>
          </w:p>
        </w:tc>
        <w:tc>
          <w:tcPr>
            <w:tcW w:w="1069"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保障性住房政务信息制作部门保存部门</w:t>
            </w:r>
          </w:p>
          <w:p>
            <w:pPr>
              <w:rPr>
                <w:rFonts w:ascii="Times New Roman" w:hAnsi="Times New Roman" w:eastAsia="仿宋_GB2312" w:cs="Times New Roman"/>
                <w:color w:val="000000"/>
                <w:sz w:val="18"/>
                <w:szCs w:val="18"/>
              </w:rPr>
            </w:pPr>
          </w:p>
        </w:tc>
        <w:tc>
          <w:tcPr>
            <w:tcW w:w="1737"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p>
            <w:pPr>
              <w:rPr>
                <w:rFonts w:ascii="Times New Roman" w:hAnsi="Times New Roman" w:eastAsia="仿宋_GB2312" w:cs="Times New Roman"/>
                <w:color w:val="000000"/>
                <w:sz w:val="18"/>
                <w:szCs w:val="18"/>
              </w:rPr>
            </w:pP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858"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规划计划</w:t>
            </w:r>
          </w:p>
        </w:tc>
        <w:tc>
          <w:tcPr>
            <w:tcW w:w="736"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年度计划</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●年度建设计划任务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量：开工套数基本建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成套数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●年度计划项目：项目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名称建设地点总建筑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面积住宅面积计划开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工时间计划竣工时间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858"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建设管理</w:t>
            </w:r>
          </w:p>
        </w:tc>
        <w:tc>
          <w:tcPr>
            <w:tcW w:w="736" w:type="dxa"/>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立项信息</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●项目名称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●投资金额</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〇资金筹集方式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●计划安排</w:t>
            </w:r>
          </w:p>
        </w:tc>
        <w:tc>
          <w:tcPr>
            <w:tcW w:w="3328"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《中华人民共和国政府信息公开条例》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《经济适用住房管理办法》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《住房城乡建设部办公厅关于做好2012年住房保障信息公开工作的通知》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《住房城乡建设部办公厅关于进一步加强住房保障信息公开工作的通知》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p>
        </w:tc>
        <w:tc>
          <w:tcPr>
            <w:tcW w:w="1219"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信息形成（变更）20个工作日内</w:t>
            </w:r>
          </w:p>
          <w:p>
            <w:pPr>
              <w:jc w:val="center"/>
              <w:rPr>
                <w:rFonts w:ascii="Times New Roman" w:hAnsi="Times New Roman" w:eastAsia="仿宋_GB2312" w:cs="Times New Roman"/>
                <w:color w:val="000000"/>
                <w:sz w:val="18"/>
                <w:szCs w:val="18"/>
              </w:rPr>
            </w:pPr>
          </w:p>
        </w:tc>
        <w:tc>
          <w:tcPr>
            <w:tcW w:w="1069"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保障性住房政务信息制作部门保存部门</w:t>
            </w:r>
          </w:p>
          <w:p>
            <w:pPr>
              <w:rPr>
                <w:rFonts w:ascii="Times New Roman" w:hAnsi="Times New Roman" w:eastAsia="仿宋_GB2312" w:cs="Times New Roman"/>
                <w:color w:val="000000"/>
                <w:sz w:val="18"/>
                <w:szCs w:val="18"/>
              </w:rPr>
            </w:pPr>
          </w:p>
        </w:tc>
        <w:tc>
          <w:tcPr>
            <w:tcW w:w="1737"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p>
            <w:pPr>
              <w:rPr>
                <w:rFonts w:ascii="Times New Roman" w:hAnsi="Times New Roman" w:eastAsia="仿宋_GB2312" w:cs="Times New Roman"/>
                <w:color w:val="000000"/>
                <w:sz w:val="18"/>
                <w:szCs w:val="18"/>
              </w:rPr>
            </w:pP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9</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建设管理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开工项目清单</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●项目名称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●建设地址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●建设总套数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●开工时间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●年度计划开工套数实</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际开工套数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●年度计划基本建成套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●建设设计施工和监理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单位名称等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10</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建设管理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基本建成项目清单</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●项目名称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●建设地址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●建设单位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●竣工套数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●竣工时间等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11</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建设管理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竣工项目清单</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●项目名称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●建设地址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●建设单位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●竣工套数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●竣工时间等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12</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建设管理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配套设施建设情况</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●项目名称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●建设地址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●开工时间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●建设设计施工和监理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单位名称等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Times New Roman" w:hAnsi="Times New Roman" w:eastAsia="仿宋_GB2312" w:cs="Times New Roman"/>
                <w:color w:val="000000"/>
                <w:sz w:val="18"/>
                <w:szCs w:val="18"/>
                <w:u w:val="single"/>
              </w:rPr>
            </w:pPr>
            <w:r>
              <w:rPr>
                <w:rFonts w:hint="eastAsia" w:ascii="宋体" w:hAnsi="宋体" w:eastAsia="宋体" w:cs="宋体"/>
                <w:color w:val="000000"/>
                <w:kern w:val="0"/>
                <w:sz w:val="18"/>
                <w:szCs w:val="18"/>
              </w:rPr>
              <w:t>13</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配给管理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保障性住房申请受理</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●申请受理公告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●申请条件程序期限和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所需材料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●租赁补贴发放计划</w:t>
            </w:r>
          </w:p>
        </w:tc>
        <w:tc>
          <w:tcPr>
            <w:tcW w:w="3328"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《经济适用住房管理办法》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《住房城乡建设部办公厅关于做好2012年住房保障信息公开工作的</w:t>
            </w:r>
            <w:bookmarkStart w:id="1" w:name="_GoBack"/>
            <w:bookmarkEnd w:id="1"/>
            <w:r>
              <w:rPr>
                <w:rFonts w:hint="eastAsia" w:ascii="宋体" w:hAnsi="宋体" w:eastAsia="宋体" w:cs="宋体"/>
                <w:color w:val="000000"/>
                <w:kern w:val="0"/>
                <w:sz w:val="18"/>
                <w:szCs w:val="18"/>
              </w:rPr>
              <w:t>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《住房城乡建设部办公厅关于进一步加强住房保障信息公开工作的通知》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《国务院办公厅关于印发2018年政务公开工作要点的通知》                               </w:t>
            </w:r>
          </w:p>
          <w:p>
            <w:pPr>
              <w:rPr>
                <w:rFonts w:ascii="Times New Roman" w:hAnsi="Times New Roman" w:eastAsia="仿宋_GB2312" w:cs="Times New Roman"/>
                <w:color w:val="000000"/>
                <w:sz w:val="18"/>
                <w:szCs w:val="18"/>
              </w:rPr>
            </w:pPr>
          </w:p>
        </w:tc>
        <w:tc>
          <w:tcPr>
            <w:tcW w:w="121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信息形成（变更）20个工作日内</w:t>
            </w:r>
          </w:p>
        </w:tc>
        <w:tc>
          <w:tcPr>
            <w:tcW w:w="106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保障性住房政务信息制作部门保存部门</w:t>
            </w:r>
          </w:p>
        </w:tc>
        <w:tc>
          <w:tcPr>
            <w:tcW w:w="1737"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14</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配给管理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公租房承租资格审核</w:t>
            </w:r>
          </w:p>
        </w:tc>
        <w:tc>
          <w:tcPr>
            <w:tcW w:w="2102"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●申请受理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●审核结果：申请对象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姓名身份证号(隐藏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部分号码)申请房源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类型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〇是否审核通过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〇审核未通过原因等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15</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配给管理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公租房租金减免审批</w:t>
            </w:r>
          </w:p>
        </w:tc>
        <w:tc>
          <w:tcPr>
            <w:tcW w:w="2102" w:type="dxa"/>
            <w:vMerge w:val="continue"/>
          </w:tcPr>
          <w:p>
            <w:pPr>
              <w:rPr>
                <w:rFonts w:ascii="Times New Roman" w:hAnsi="Times New Roman" w:eastAsia="仿宋_GB2312" w:cs="Times New Roman"/>
                <w:color w:val="000000"/>
                <w:sz w:val="18"/>
                <w:szCs w:val="18"/>
              </w:rPr>
            </w:pP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6</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配给管理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房源信息</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〇分配批次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●项目名称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●保障性住房类型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●竣工日期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●地址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●住房套数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●待分配套数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●已分配套数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●套型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●面积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●配租配售价格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●分配日期等</w:t>
            </w:r>
          </w:p>
        </w:tc>
        <w:tc>
          <w:tcPr>
            <w:tcW w:w="3328"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《中华人民共和国政府信息公开条例》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《经济适用住房管理办法》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《住房城乡建设部办公厅关于做好2012年住房保障信息公开工作的通知》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《住房城乡建设部办公厅关于进一步加强住房保障信息公开工作的通知》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p>
        </w:tc>
        <w:tc>
          <w:tcPr>
            <w:tcW w:w="1219"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信息形成（变更）20个工作日内</w:t>
            </w:r>
          </w:p>
        </w:tc>
        <w:tc>
          <w:tcPr>
            <w:tcW w:w="1069"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住房保障行政主管部门</w:t>
            </w:r>
          </w:p>
        </w:tc>
        <w:tc>
          <w:tcPr>
            <w:tcW w:w="1737"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2" w:char="00A3"/>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Align w:val="center"/>
          </w:tcPr>
          <w:p>
            <w:pPr>
              <w:jc w:val="center"/>
              <w:rPr>
                <w:rFonts w:ascii="Times New Roman" w:hAnsi="Times New Roman" w:eastAsia="仿宋_GB2312" w:cs="Times New Roman"/>
                <w:color w:val="000000"/>
                <w:sz w:val="18"/>
                <w:szCs w:val="18"/>
              </w:rPr>
            </w:pPr>
          </w:p>
        </w:tc>
        <w:tc>
          <w:tcPr>
            <w:tcW w:w="668" w:type="dxa"/>
            <w:gridSpan w:val="2"/>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Align w:val="center"/>
          </w:tcPr>
          <w:p>
            <w:pPr>
              <w:jc w:val="center"/>
              <w:rPr>
                <w:rFonts w:ascii="Times New Roman" w:hAnsi="Times New Roman" w:eastAsia="仿宋_GB2312" w:cs="Times New Roman"/>
                <w:color w:val="000000"/>
                <w:sz w:val="18"/>
                <w:szCs w:val="18"/>
              </w:rPr>
            </w:pPr>
          </w:p>
        </w:tc>
        <w:tc>
          <w:tcPr>
            <w:tcW w:w="475" w:type="dxa"/>
            <w:gridSpan w:val="2"/>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7</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配给管理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选房或摇号公告</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●公告名称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●发布部门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●发布日期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●正文，包括时间地点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流程注意事项等</w:t>
            </w:r>
          </w:p>
        </w:tc>
        <w:tc>
          <w:tcPr>
            <w:tcW w:w="3328"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《中华人民共和国政府信息公开条例》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《经济适用住房管理办法》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《住房城乡建设部办公厅关于做好2012年住房保障信息公开工作的通知》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《住房城乡建设部办公厅关于进一步加强住房保障信息公开工作的通知》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p>
        </w:tc>
        <w:tc>
          <w:tcPr>
            <w:tcW w:w="1219"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信息形成（变更）20个工作日内</w:t>
            </w:r>
          </w:p>
          <w:p>
            <w:pPr>
              <w:ind w:left="218" w:leftChars="104"/>
              <w:jc w:val="center"/>
              <w:rPr>
                <w:rFonts w:ascii="Times New Roman" w:hAnsi="Times New Roman" w:eastAsia="仿宋_GB2312" w:cs="Times New Roman"/>
                <w:color w:val="000000"/>
                <w:sz w:val="18"/>
                <w:szCs w:val="18"/>
              </w:rPr>
            </w:pPr>
          </w:p>
        </w:tc>
        <w:tc>
          <w:tcPr>
            <w:tcW w:w="1069" w:type="dxa"/>
            <w:vMerge w:val="restart"/>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住房保障行政主管部门</w:t>
            </w:r>
          </w:p>
          <w:p>
            <w:pPr>
              <w:rPr>
                <w:rFonts w:ascii="Times New Roman" w:hAnsi="Times New Roman" w:eastAsia="仿宋_GB2312" w:cs="Times New Roman"/>
                <w:color w:val="000000"/>
                <w:sz w:val="18"/>
                <w:szCs w:val="18"/>
              </w:rPr>
            </w:pPr>
          </w:p>
        </w:tc>
        <w:tc>
          <w:tcPr>
            <w:tcW w:w="1737"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8</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配给管理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分配结果</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●保障对象姓名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●保障性住房类型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●房号面积套型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●所在建设项目名称等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default" w:ascii="Times New Roman" w:hAnsi="Times New Roman" w:eastAsia="仿宋_GB2312" w:cs="Times New Roman"/>
                <w:color w:val="000000"/>
                <w:sz w:val="18"/>
                <w:szCs w:val="18"/>
                <w:lang w:val="en-US" w:eastAsia="zh-CN"/>
              </w:rPr>
            </w:pPr>
            <w:r>
              <w:rPr>
                <w:rFonts w:hint="eastAsia" w:ascii="宋体" w:hAnsi="宋体" w:eastAsia="宋体" w:cs="宋体"/>
                <w:color w:val="000000"/>
                <w:kern w:val="0"/>
                <w:sz w:val="18"/>
                <w:szCs w:val="18"/>
                <w:lang w:val="en-US" w:eastAsia="zh-CN"/>
              </w:rPr>
              <w:t>19</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配给管理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办理配租公告</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●公告名称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●发布部门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●发布日期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●正文，包括时间地点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流程注意事项等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val="en-US"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0</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公租房资格定期审核</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●年审或定期审核家庭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信息，含保障对象编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号姓名身份证号﹝隐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藏部分号码﹞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●配租房源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●套型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●面积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●是否审核通过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●未通过原因等</w:t>
            </w:r>
          </w:p>
        </w:tc>
        <w:tc>
          <w:tcPr>
            <w:tcW w:w="3328"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p>
        </w:tc>
        <w:tc>
          <w:tcPr>
            <w:tcW w:w="1219"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信息形成（变更）20个工作日内</w:t>
            </w:r>
          </w:p>
        </w:tc>
        <w:tc>
          <w:tcPr>
            <w:tcW w:w="1069"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保障性住房政务信息制作部门保存部门</w:t>
            </w:r>
          </w:p>
        </w:tc>
        <w:tc>
          <w:tcPr>
            <w:tcW w:w="1737"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Align w:val="center"/>
          </w:tcPr>
          <w:p>
            <w:pPr>
              <w:jc w:val="center"/>
              <w:rPr>
                <w:rFonts w:ascii="Times New Roman" w:hAnsi="Times New Roman" w:eastAsia="仿宋_GB2312" w:cs="Times New Roman"/>
                <w:color w:val="000000"/>
                <w:sz w:val="18"/>
                <w:szCs w:val="18"/>
              </w:rPr>
            </w:pPr>
          </w:p>
        </w:tc>
        <w:tc>
          <w:tcPr>
            <w:tcW w:w="668" w:type="dxa"/>
            <w:gridSpan w:val="2"/>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Align w:val="center"/>
          </w:tcPr>
          <w:p>
            <w:pPr>
              <w:jc w:val="center"/>
              <w:rPr>
                <w:rFonts w:ascii="Times New Roman" w:hAnsi="Times New Roman" w:eastAsia="仿宋_GB2312" w:cs="Times New Roman"/>
                <w:color w:val="000000"/>
                <w:sz w:val="18"/>
                <w:szCs w:val="18"/>
              </w:rPr>
            </w:pPr>
          </w:p>
        </w:tc>
        <w:tc>
          <w:tcPr>
            <w:tcW w:w="475" w:type="dxa"/>
            <w:gridSpan w:val="2"/>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val="en-US"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1</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自愿退出</w:t>
            </w:r>
          </w:p>
        </w:tc>
        <w:tc>
          <w:tcPr>
            <w:tcW w:w="2102"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●原保障对象姓名身份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证号（隐藏部分号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●原租购项目名称地址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类型套型面积等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●原享受补贴面积标准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等</w:t>
            </w:r>
          </w:p>
        </w:tc>
        <w:tc>
          <w:tcPr>
            <w:tcW w:w="3328" w:type="dxa"/>
            <w:vMerge w:val="restart"/>
            <w:vAlign w:val="center"/>
          </w:tcPr>
          <w:p>
            <w:pPr>
              <w:widowControl/>
              <w:ind w:right="-548" w:rightChars="-261"/>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《经济适用住房管理办法》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《住房城乡建设部办公厅关于做好2012年住房保障信息公开工作的通知》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《住房城乡建设部办公厅关于进一步加强住房保障信息公开工作的通知》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p>
        </w:tc>
        <w:tc>
          <w:tcPr>
            <w:tcW w:w="121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信息形成（变更）20个工作日内</w:t>
            </w:r>
          </w:p>
        </w:tc>
        <w:tc>
          <w:tcPr>
            <w:tcW w:w="106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保障性住房政务信息制作部门</w:t>
            </w:r>
          </w:p>
        </w:tc>
        <w:tc>
          <w:tcPr>
            <w:tcW w:w="1737"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2" w:char="00A3"/>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2</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到期退出</w:t>
            </w:r>
          </w:p>
        </w:tc>
        <w:tc>
          <w:tcPr>
            <w:tcW w:w="2102" w:type="dxa"/>
            <w:vMerge w:val="continue"/>
          </w:tcPr>
          <w:p>
            <w:pPr>
              <w:rPr>
                <w:rFonts w:ascii="Times New Roman" w:hAnsi="Times New Roman" w:eastAsia="仿宋_GB2312" w:cs="Times New Roman"/>
                <w:color w:val="000000"/>
                <w:sz w:val="18"/>
                <w:szCs w:val="18"/>
              </w:rPr>
            </w:pP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3</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不符合条件退出</w:t>
            </w:r>
          </w:p>
        </w:tc>
        <w:tc>
          <w:tcPr>
            <w:tcW w:w="2102" w:type="dxa"/>
            <w:vMerge w:val="continue"/>
          </w:tcPr>
          <w:p>
            <w:pPr>
              <w:rPr>
                <w:rFonts w:ascii="Times New Roman" w:hAnsi="Times New Roman" w:eastAsia="仿宋_GB2312" w:cs="Times New Roman"/>
                <w:color w:val="000000"/>
                <w:sz w:val="18"/>
                <w:szCs w:val="18"/>
              </w:rPr>
            </w:pP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4</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违规处罚退出</w:t>
            </w:r>
          </w:p>
        </w:tc>
        <w:tc>
          <w:tcPr>
            <w:tcW w:w="2102" w:type="dxa"/>
            <w:vMerge w:val="continue"/>
          </w:tcPr>
          <w:p>
            <w:pPr>
              <w:rPr>
                <w:rFonts w:ascii="Times New Roman" w:hAnsi="Times New Roman" w:eastAsia="仿宋_GB2312" w:cs="Times New Roman"/>
                <w:color w:val="000000"/>
                <w:sz w:val="18"/>
                <w:szCs w:val="18"/>
              </w:rPr>
            </w:pP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5</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租金收取</w:t>
            </w:r>
          </w:p>
        </w:tc>
        <w:tc>
          <w:tcPr>
            <w:tcW w:w="2102" w:type="dxa"/>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●保障对象姓名身份证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号（隐藏部分号码）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●应缴租金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●实收租金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●未足额收取原因</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●租金年度月份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●收取日期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●收取方式</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default" w:ascii="Times New Roman" w:hAnsi="Times New Roman" w:eastAsia="仿宋_GB2312" w:cs="Times New Roman"/>
                <w:color w:val="000000"/>
                <w:sz w:val="18"/>
                <w:szCs w:val="18"/>
                <w:lang w:val="en-US" w:eastAsia="zh-CN"/>
              </w:rPr>
            </w:pPr>
            <w:r>
              <w:rPr>
                <w:rFonts w:hint="eastAsia" w:ascii="宋体" w:hAnsi="宋体" w:eastAsia="宋体" w:cs="宋体"/>
                <w:color w:val="000000"/>
                <w:kern w:val="0"/>
                <w:sz w:val="18"/>
                <w:szCs w:val="18"/>
                <w:lang w:val="en-US" w:eastAsia="zh-CN"/>
              </w:rPr>
              <w:t>26</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租金减免</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●保障对象姓名身份证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号（隐藏部分号码）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●保障项目名称类型套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型面积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●原应缴租金标准现应</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缴租金标准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〇不予租金减免原因</w:t>
            </w:r>
          </w:p>
        </w:tc>
        <w:tc>
          <w:tcPr>
            <w:tcW w:w="3328"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《经济适用住房管理办法》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《住房城乡建设部办公厅关于做好2012年住房保障信息公开工作的通知》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《住房城乡建设部办公厅关于进一步加强住房保障信息公开工作的通知》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共资源配置领域政府信息公开的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p>
        </w:tc>
        <w:tc>
          <w:tcPr>
            <w:tcW w:w="121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信息形成（变更）20个工作日内</w:t>
            </w:r>
          </w:p>
        </w:tc>
        <w:tc>
          <w:tcPr>
            <w:tcW w:w="106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保障性住房政务信息制作部门保存部门</w:t>
            </w:r>
          </w:p>
        </w:tc>
        <w:tc>
          <w:tcPr>
            <w:tcW w:w="1737"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 xml:space="preserve">                                      ■政府网站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default" w:ascii="Times New Roman" w:hAnsi="Times New Roman" w:eastAsia="仿宋_GB2312" w:cs="Times New Roman"/>
                <w:color w:val="000000"/>
                <w:sz w:val="18"/>
                <w:szCs w:val="18"/>
                <w:lang w:val="en-US" w:eastAsia="zh-CN"/>
              </w:rPr>
            </w:pPr>
            <w:r>
              <w:rPr>
                <w:rFonts w:hint="eastAsia" w:ascii="宋体" w:hAnsi="宋体" w:eastAsia="宋体" w:cs="宋体"/>
                <w:color w:val="000000"/>
                <w:kern w:val="0"/>
                <w:sz w:val="18"/>
                <w:szCs w:val="18"/>
                <w:lang w:val="en-US" w:eastAsia="zh-CN"/>
              </w:rPr>
              <w:t>27</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腾退管理</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●腾退对象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〇房屋编号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●腾退日期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●腾退原因</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●实退租金</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default" w:ascii="Times New Roman" w:hAnsi="Times New Roman" w:eastAsia="仿宋_GB2312" w:cs="Times New Roman"/>
                <w:color w:val="000000"/>
                <w:sz w:val="18"/>
                <w:szCs w:val="18"/>
                <w:lang w:val="en-US" w:eastAsia="zh-CN"/>
              </w:rPr>
            </w:pPr>
            <w:r>
              <w:rPr>
                <w:rFonts w:hint="eastAsia" w:ascii="宋体" w:hAnsi="宋体" w:eastAsia="宋体" w:cs="宋体"/>
                <w:color w:val="000000"/>
                <w:kern w:val="0"/>
                <w:sz w:val="18"/>
                <w:szCs w:val="18"/>
                <w:lang w:val="en-US" w:eastAsia="zh-CN"/>
              </w:rPr>
              <w:t>28</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房屋维修</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●维修内容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●维修标准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●维修资金来源渠道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●维修单位名称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●联系人，联系方式</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default" w:ascii="Times New Roman" w:hAnsi="Times New Roman" w:eastAsia="仿宋_GB2312" w:cs="Times New Roman"/>
                <w:color w:val="000000"/>
                <w:sz w:val="18"/>
                <w:szCs w:val="18"/>
                <w:lang w:val="en-US" w:eastAsia="zh-CN"/>
              </w:rPr>
            </w:pPr>
            <w:r>
              <w:rPr>
                <w:rFonts w:hint="eastAsia" w:ascii="宋体" w:hAnsi="宋体" w:eastAsia="宋体" w:cs="宋体"/>
                <w:color w:val="000000"/>
                <w:kern w:val="0"/>
                <w:sz w:val="18"/>
                <w:szCs w:val="18"/>
                <w:lang w:val="en-US" w:eastAsia="zh-CN"/>
              </w:rPr>
              <w:t>29</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保障性住房调整</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●保障对象姓名身份证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号（隐藏部分号码）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●调整前和调整后保障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项目名称类型套型面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积等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●不予调整原因</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val="en-US"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0</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配后管理</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运营承接主体管理</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●单位名称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●获取运营资格方式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●运营承接主体统一社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会信用代码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●负责人姓名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●办公地址联系电话</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●注册资金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●服务范围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●监督考核情况等</w:t>
            </w:r>
          </w:p>
        </w:tc>
        <w:tc>
          <w:tcPr>
            <w:tcW w:w="3328"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《经济适用住房管理办法》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《公共租赁住房管理办法》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p>
        </w:tc>
        <w:tc>
          <w:tcPr>
            <w:tcW w:w="1219"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信息形成（变更）20个工作日内</w:t>
            </w:r>
          </w:p>
        </w:tc>
        <w:tc>
          <w:tcPr>
            <w:tcW w:w="1069"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保障性住房政务信息制作部门保存部门</w:t>
            </w:r>
          </w:p>
        </w:tc>
        <w:tc>
          <w:tcPr>
            <w:tcW w:w="1737"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Align w:val="center"/>
          </w:tcPr>
          <w:p>
            <w:pPr>
              <w:jc w:val="center"/>
              <w:rPr>
                <w:rFonts w:ascii="Times New Roman" w:hAnsi="Times New Roman" w:eastAsia="仿宋_GB2312" w:cs="Times New Roman"/>
                <w:color w:val="000000"/>
                <w:sz w:val="18"/>
                <w:szCs w:val="18"/>
              </w:rPr>
            </w:pPr>
          </w:p>
        </w:tc>
        <w:tc>
          <w:tcPr>
            <w:tcW w:w="668" w:type="dxa"/>
            <w:gridSpan w:val="2"/>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Align w:val="center"/>
          </w:tcPr>
          <w:p>
            <w:pPr>
              <w:jc w:val="center"/>
              <w:rPr>
                <w:rFonts w:ascii="Times New Roman" w:hAnsi="Times New Roman" w:eastAsia="仿宋_GB2312" w:cs="Times New Roman"/>
                <w:color w:val="000000"/>
                <w:sz w:val="18"/>
                <w:szCs w:val="18"/>
              </w:rPr>
            </w:pPr>
          </w:p>
        </w:tc>
        <w:tc>
          <w:tcPr>
            <w:tcW w:w="475" w:type="dxa"/>
            <w:gridSpan w:val="2"/>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Times New Roman" w:hAnsi="Times New Roman" w:eastAsia="宋体" w:cs="Times New Roman"/>
                <w:color w:val="000000"/>
                <w:sz w:val="18"/>
                <w:szCs w:val="18"/>
                <w:lang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1</w:t>
            </w:r>
          </w:p>
        </w:tc>
        <w:tc>
          <w:tcPr>
            <w:tcW w:w="858"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办事指南</w:t>
            </w:r>
          </w:p>
        </w:tc>
        <w:tc>
          <w:tcPr>
            <w:tcW w:w="736" w:type="dxa"/>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申请保障</w:t>
            </w:r>
          </w:p>
        </w:tc>
        <w:tc>
          <w:tcPr>
            <w:tcW w:w="2102" w:type="dxa"/>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●申请条件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●申请所需材料及范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●申请流程和办理时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●申请受理（办理）机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●受理地点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●咨询电话监督电话等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w:t>
            </w:r>
          </w:p>
        </w:tc>
        <w:tc>
          <w:tcPr>
            <w:tcW w:w="3328"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《国务院关于加快推进“互联网+政务服务”工作的指导意见》</w:t>
            </w:r>
          </w:p>
        </w:tc>
        <w:tc>
          <w:tcPr>
            <w:tcW w:w="121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信息形成（变更）20个工作日内</w:t>
            </w:r>
          </w:p>
        </w:tc>
        <w:tc>
          <w:tcPr>
            <w:tcW w:w="106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保障性住房政务信息制作部门保存部门</w:t>
            </w:r>
          </w:p>
        </w:tc>
        <w:tc>
          <w:tcPr>
            <w:tcW w:w="1737"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2</w:t>
            </w:r>
          </w:p>
        </w:tc>
        <w:tc>
          <w:tcPr>
            <w:tcW w:w="85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办事指南</w:t>
            </w: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合同备案</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●合同范本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●备案机构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●受理地点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3</w:t>
            </w:r>
          </w:p>
        </w:tc>
        <w:tc>
          <w:tcPr>
            <w:tcW w:w="85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办事指南</w:t>
            </w: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申请租金减免</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●申请所需材料及范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●申请流程和办理时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●申请受理（办理）机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●受理地点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●咨询电话监督电话等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4</w:t>
            </w:r>
          </w:p>
        </w:tc>
        <w:tc>
          <w:tcPr>
            <w:tcW w:w="85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办事指南</w:t>
            </w: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缴纳租金</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●租金标准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●缴纳方式时限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●受理（办理）机构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●咨询电话监督电话等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w:t>
            </w:r>
          </w:p>
        </w:tc>
        <w:tc>
          <w:tcPr>
            <w:tcW w:w="3328"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《国务院关于加快推进“互联网+政务服务”工作的指导意见》</w:t>
            </w:r>
          </w:p>
        </w:tc>
        <w:tc>
          <w:tcPr>
            <w:tcW w:w="121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信息形成（变更）20个工作日内</w:t>
            </w:r>
          </w:p>
        </w:tc>
        <w:tc>
          <w:tcPr>
            <w:tcW w:w="106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保障性住房政务信息制作部门保存部门</w:t>
            </w:r>
          </w:p>
        </w:tc>
        <w:tc>
          <w:tcPr>
            <w:tcW w:w="1737"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5</w:t>
            </w:r>
          </w:p>
        </w:tc>
        <w:tc>
          <w:tcPr>
            <w:tcW w:w="85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办事指南</w:t>
            </w: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保障性住房调换</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●申请所需材料及范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●申请方式流程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●申请受理（办理）机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●受理地点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●咨询电话监督电话等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6</w:t>
            </w:r>
          </w:p>
        </w:tc>
        <w:tc>
          <w:tcPr>
            <w:tcW w:w="85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办事指南</w:t>
            </w: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自愿退出</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●申请所需材料及范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●申请方式流程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●申请受理（办理）机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●受理地点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●咨询电话监督电话等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7</w:t>
            </w:r>
          </w:p>
        </w:tc>
        <w:tc>
          <w:tcPr>
            <w:tcW w:w="85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政策解读</w:t>
            </w: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本级政策解读</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●解读主体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●解读内容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●解读方式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●解读时间等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38</w:t>
            </w:r>
          </w:p>
        </w:tc>
        <w:tc>
          <w:tcPr>
            <w:tcW w:w="85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回应关切</w:t>
            </w: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主动回应</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●公众提出的意见建议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及回复情况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●公开突发事件应对情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况等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39</w:t>
            </w:r>
          </w:p>
        </w:tc>
        <w:tc>
          <w:tcPr>
            <w:tcW w:w="85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回应关切</w:t>
            </w: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互动回应</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●在收集分析研判舆情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的基础上，针对舆论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关注的焦点热点和关</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键问题的互动回应内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容</w:t>
            </w:r>
          </w:p>
        </w:tc>
        <w:tc>
          <w:tcPr>
            <w:tcW w:w="3328"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《国务院办公厅关于推进公共资源配置领域政府信息公开的意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《国务院办公厅关于印发2018年政务公开工作要点的通知》</w:t>
            </w:r>
          </w:p>
        </w:tc>
        <w:tc>
          <w:tcPr>
            <w:tcW w:w="121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信息形成（变更）20个工作日内</w:t>
            </w:r>
          </w:p>
        </w:tc>
        <w:tc>
          <w:tcPr>
            <w:tcW w:w="1069"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住房保障行政主管部门</w:t>
            </w:r>
          </w:p>
        </w:tc>
        <w:tc>
          <w:tcPr>
            <w:tcW w:w="1737" w:type="dxa"/>
            <w:vMerge w:val="restart"/>
            <w:vAlign w:val="center"/>
          </w:tcPr>
          <w:p>
            <w:pPr>
              <w:widowControl/>
              <w:jc w:val="left"/>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■政府网站       □政府公报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微信公众号</w:t>
            </w:r>
            <w:r>
              <w:rPr>
                <w:rFonts w:hint="eastAsia" w:ascii="宋体" w:hAnsi="宋体" w:eastAsia="宋体" w:cs="宋体"/>
                <w:color w:val="000000"/>
                <w:kern w:val="0"/>
                <w:sz w:val="18"/>
                <w:szCs w:val="18"/>
              </w:rPr>
              <w:t xml:space="preserve">      □发布会/听证会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□广播电视       □纸质媒体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□公开查阅点     □政务服务中心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□便民服务站     □入户/现场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□社区/企事业单位公示栏（电子屏）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w:t>
            </w:r>
          </w:p>
        </w:tc>
        <w:tc>
          <w:tcPr>
            <w:tcW w:w="769"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668" w:type="dxa"/>
            <w:vMerge w:val="restart"/>
            <w:vAlign w:val="center"/>
          </w:tcPr>
          <w:p>
            <w:pPr>
              <w:jc w:val="center"/>
              <w:rPr>
                <w:rFonts w:ascii="Times New Roman" w:hAnsi="Times New Roman" w:eastAsia="仿宋_GB2312" w:cs="Times New Roman"/>
                <w:color w:val="000000"/>
                <w:sz w:val="18"/>
                <w:szCs w:val="18"/>
              </w:rPr>
            </w:pPr>
          </w:p>
        </w:tc>
        <w:tc>
          <w:tcPr>
            <w:tcW w:w="668"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83" w:type="dxa"/>
            <w:vMerge w:val="restart"/>
            <w:vAlign w:val="center"/>
          </w:tcPr>
          <w:p>
            <w:pPr>
              <w:jc w:val="center"/>
              <w:rPr>
                <w:rFonts w:ascii="Times New Roman" w:hAnsi="Times New Roman" w:eastAsia="仿宋_GB2312" w:cs="Times New Roman"/>
                <w:color w:val="000000"/>
                <w:sz w:val="18"/>
                <w:szCs w:val="18"/>
              </w:rPr>
            </w:pPr>
          </w:p>
        </w:tc>
        <w:tc>
          <w:tcPr>
            <w:tcW w:w="475" w:type="dxa"/>
            <w:gridSpan w:val="2"/>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c>
          <w:tcPr>
            <w:tcW w:w="850" w:type="dxa"/>
            <w:vMerge w:val="restart"/>
            <w:vAlign w:val="center"/>
          </w:tcPr>
          <w:p>
            <w:pPr>
              <w:widowControl/>
              <w:jc w:val="center"/>
              <w:textAlignment w:val="center"/>
              <w:rPr>
                <w:rFonts w:ascii="Times New Roman" w:hAnsi="Times New Roman" w:eastAsia="仿宋_GB2312" w:cs="Times New Roman"/>
                <w:color w:val="00000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0</w:t>
            </w:r>
          </w:p>
        </w:tc>
        <w:tc>
          <w:tcPr>
            <w:tcW w:w="858" w:type="dxa"/>
            <w:vMerge w:val="restart"/>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评价结果</w:t>
            </w: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上级评价表彰情况</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●上级对本地区保障性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住房领域年度工作完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成情况的评价通报排</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●获上级表彰入围上级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推广示范情况等</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6" w:type="dxa"/>
          <w:cantSplit/>
          <w:trHeight w:val="618" w:hRule="atLeast"/>
          <w:jc w:val="center"/>
        </w:trPr>
        <w:tc>
          <w:tcPr>
            <w:tcW w:w="509" w:type="dxa"/>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1</w:t>
            </w:r>
          </w:p>
        </w:tc>
        <w:tc>
          <w:tcPr>
            <w:tcW w:w="858" w:type="dxa"/>
            <w:vMerge w:val="continue"/>
            <w:vAlign w:val="center"/>
          </w:tcPr>
          <w:p>
            <w:pPr>
              <w:jc w:val="center"/>
              <w:rPr>
                <w:rFonts w:ascii="宋体" w:hAnsi="宋体" w:eastAsia="宋体" w:cs="宋体"/>
                <w:color w:val="000000"/>
                <w:kern w:val="0"/>
                <w:sz w:val="18"/>
                <w:szCs w:val="18"/>
              </w:rPr>
            </w:pPr>
          </w:p>
        </w:tc>
        <w:tc>
          <w:tcPr>
            <w:tcW w:w="736"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社会评价情况</w:t>
            </w:r>
          </w:p>
        </w:tc>
        <w:tc>
          <w:tcPr>
            <w:tcW w:w="2102" w:type="dxa"/>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●公众对保障性住房工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作满意度评价</w:t>
            </w:r>
          </w:p>
        </w:tc>
        <w:tc>
          <w:tcPr>
            <w:tcW w:w="3328" w:type="dxa"/>
            <w:vMerge w:val="continue"/>
          </w:tcPr>
          <w:p>
            <w:pPr>
              <w:rPr>
                <w:rFonts w:ascii="Times New Roman" w:hAnsi="Times New Roman" w:eastAsia="仿宋_GB2312" w:cs="Times New Roman"/>
                <w:color w:val="000000"/>
                <w:sz w:val="18"/>
                <w:szCs w:val="18"/>
              </w:rPr>
            </w:pPr>
          </w:p>
        </w:tc>
        <w:tc>
          <w:tcPr>
            <w:tcW w:w="1219" w:type="dxa"/>
            <w:vMerge w:val="continue"/>
          </w:tcPr>
          <w:p>
            <w:pPr>
              <w:jc w:val="center"/>
              <w:rPr>
                <w:rFonts w:ascii="Times New Roman" w:hAnsi="Times New Roman" w:eastAsia="仿宋_GB2312" w:cs="Times New Roman"/>
                <w:color w:val="000000"/>
                <w:sz w:val="18"/>
                <w:szCs w:val="18"/>
              </w:rPr>
            </w:pPr>
          </w:p>
        </w:tc>
        <w:tc>
          <w:tcPr>
            <w:tcW w:w="1069" w:type="dxa"/>
            <w:vMerge w:val="continue"/>
          </w:tcPr>
          <w:p>
            <w:pPr>
              <w:rPr>
                <w:rFonts w:ascii="Times New Roman" w:hAnsi="Times New Roman" w:eastAsia="仿宋_GB2312" w:cs="Times New Roman"/>
                <w:color w:val="000000"/>
                <w:sz w:val="18"/>
                <w:szCs w:val="18"/>
              </w:rPr>
            </w:pPr>
          </w:p>
        </w:tc>
        <w:tc>
          <w:tcPr>
            <w:tcW w:w="1737" w:type="dxa"/>
            <w:vMerge w:val="continue"/>
          </w:tcPr>
          <w:p>
            <w:pPr>
              <w:rPr>
                <w:rFonts w:ascii="Times New Roman" w:hAnsi="Times New Roman" w:eastAsia="仿宋_GB2312" w:cs="Times New Roman"/>
                <w:color w:val="000000"/>
                <w:sz w:val="18"/>
                <w:szCs w:val="18"/>
              </w:rPr>
            </w:pPr>
          </w:p>
        </w:tc>
        <w:tc>
          <w:tcPr>
            <w:tcW w:w="769" w:type="dxa"/>
            <w:vMerge w:val="continue"/>
          </w:tcPr>
          <w:p>
            <w:pPr>
              <w:jc w:val="center"/>
              <w:rPr>
                <w:rFonts w:ascii="Times New Roman" w:hAnsi="Times New Roman" w:eastAsia="仿宋_GB2312" w:cs="Times New Roman"/>
                <w:color w:val="000000"/>
                <w:sz w:val="18"/>
                <w:szCs w:val="18"/>
              </w:rPr>
            </w:pPr>
          </w:p>
        </w:tc>
        <w:tc>
          <w:tcPr>
            <w:tcW w:w="668" w:type="dxa"/>
            <w:vMerge w:val="continue"/>
          </w:tcPr>
          <w:p>
            <w:pPr>
              <w:jc w:val="center"/>
              <w:rPr>
                <w:rFonts w:ascii="Times New Roman" w:hAnsi="Times New Roman" w:eastAsia="仿宋_GB2312" w:cs="Times New Roman"/>
                <w:color w:val="000000"/>
                <w:sz w:val="18"/>
                <w:szCs w:val="18"/>
              </w:rPr>
            </w:pPr>
          </w:p>
        </w:tc>
        <w:tc>
          <w:tcPr>
            <w:tcW w:w="668" w:type="dxa"/>
            <w:gridSpan w:val="2"/>
            <w:vMerge w:val="continue"/>
          </w:tcPr>
          <w:p>
            <w:pPr>
              <w:jc w:val="center"/>
              <w:rPr>
                <w:rFonts w:ascii="Times New Roman" w:hAnsi="Times New Roman" w:eastAsia="仿宋_GB2312" w:cs="Times New Roman"/>
                <w:color w:val="000000"/>
                <w:sz w:val="18"/>
                <w:szCs w:val="18"/>
              </w:rPr>
            </w:pPr>
          </w:p>
        </w:tc>
        <w:tc>
          <w:tcPr>
            <w:tcW w:w="883" w:type="dxa"/>
            <w:vMerge w:val="continue"/>
          </w:tcPr>
          <w:p>
            <w:pPr>
              <w:jc w:val="center"/>
              <w:rPr>
                <w:rFonts w:ascii="Times New Roman" w:hAnsi="Times New Roman" w:eastAsia="仿宋_GB2312" w:cs="Times New Roman"/>
                <w:color w:val="000000"/>
                <w:sz w:val="18"/>
                <w:szCs w:val="18"/>
              </w:rPr>
            </w:pPr>
          </w:p>
        </w:tc>
        <w:tc>
          <w:tcPr>
            <w:tcW w:w="475" w:type="dxa"/>
            <w:gridSpan w:val="2"/>
            <w:vMerge w:val="continue"/>
          </w:tcPr>
          <w:p>
            <w:pPr>
              <w:rPr>
                <w:rFonts w:ascii="Times New Roman" w:hAnsi="Times New Roman" w:eastAsia="仿宋_GB2312" w:cs="Times New Roman"/>
                <w:color w:val="000000"/>
                <w:sz w:val="18"/>
                <w:szCs w:val="18"/>
              </w:rPr>
            </w:pPr>
          </w:p>
        </w:tc>
        <w:tc>
          <w:tcPr>
            <w:tcW w:w="850" w:type="dxa"/>
            <w:vMerge w:val="continue"/>
          </w:tcPr>
          <w:p>
            <w:pPr>
              <w:rPr>
                <w:rFonts w:ascii="Times New Roman" w:hAnsi="Times New Roman" w:eastAsia="仿宋_GB2312" w:cs="Times New Roman"/>
                <w:color w:val="000000"/>
                <w:sz w:val="18"/>
                <w:szCs w:val="18"/>
              </w:rPr>
            </w:pPr>
          </w:p>
        </w:tc>
      </w:tr>
    </w:tbl>
    <w:p>
      <w:pPr>
        <w:jc w:val="left"/>
        <w:rPr>
          <w:rFonts w:ascii="方正楷体_GBK" w:hAnsi="Times New Roman" w:eastAsia="方正楷体_GBK" w:cs="Times New Roman"/>
          <w:sz w:val="30"/>
          <w:szCs w:val="30"/>
        </w:rPr>
      </w:pPr>
      <w:r>
        <w:rPr>
          <w:rFonts w:hint="eastAsia" w:ascii="方正楷体_GBK" w:hAnsi="Times New Roman" w:eastAsia="方正楷体_GBK" w:cs="Times New Roman"/>
          <w:sz w:val="30"/>
          <w:szCs w:val="30"/>
        </w:rPr>
        <w:t>备注：该目录由县住房和城乡建设局编制。</w:t>
      </w:r>
    </w:p>
    <w:p>
      <w:pPr>
        <w:rPr>
          <w:rFonts w:ascii="黑体" w:hAnsi="黑体" w:eastAsia="黑体" w:cs="黑体"/>
          <w:sz w:val="28"/>
          <w:szCs w:val="28"/>
        </w:rPr>
      </w:pPr>
    </w:p>
    <w:p>
      <w:pPr>
        <w:jc w:val="left"/>
        <w:rPr>
          <w:rFonts w:ascii="方正楷体_GBK" w:hAnsi="Times New Roman" w:eastAsia="方正楷体_GBK" w:cs="Times New Roman"/>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NWE5ZjIwYjE3ZmFhZWMyYjFjZjA3MDM3YzVjNTkifQ=="/>
  </w:docVars>
  <w:rsids>
    <w:rsidRoot w:val="006427C6"/>
    <w:rsid w:val="001454EA"/>
    <w:rsid w:val="001905D0"/>
    <w:rsid w:val="002410B5"/>
    <w:rsid w:val="00281A1C"/>
    <w:rsid w:val="002E3CF1"/>
    <w:rsid w:val="0036176E"/>
    <w:rsid w:val="006427C6"/>
    <w:rsid w:val="00661C0C"/>
    <w:rsid w:val="00A6101C"/>
    <w:rsid w:val="00BD63F9"/>
    <w:rsid w:val="00DC15EE"/>
    <w:rsid w:val="00E33569"/>
    <w:rsid w:val="03FF07E6"/>
    <w:rsid w:val="07F915F4"/>
    <w:rsid w:val="0E1C6463"/>
    <w:rsid w:val="1E86694C"/>
    <w:rsid w:val="201850F2"/>
    <w:rsid w:val="26BA180C"/>
    <w:rsid w:val="27FE4F00"/>
    <w:rsid w:val="2CD374C8"/>
    <w:rsid w:val="39F25013"/>
    <w:rsid w:val="45B904E2"/>
    <w:rsid w:val="4D061679"/>
    <w:rsid w:val="50CD5DCC"/>
    <w:rsid w:val="59D94B16"/>
    <w:rsid w:val="59DD3A3E"/>
    <w:rsid w:val="72700C35"/>
    <w:rsid w:val="79F11523"/>
    <w:rsid w:val="7B4044EC"/>
    <w:rsid w:val="7CB62516"/>
    <w:rsid w:val="7D2F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5645</Words>
  <Characters>5754</Characters>
  <Lines>53</Lines>
  <Paragraphs>15</Paragraphs>
  <TotalTime>18</TotalTime>
  <ScaleCrop>false</ScaleCrop>
  <LinksUpToDate>false</LinksUpToDate>
  <CharactersWithSpaces>6467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2020-09-18T06:42:00Z</dcterms:created>
  <dc:creator>微软用户</dc:creator>
  <cp:lastModifiedBy>Aೄ涵曦雪儿</cp:lastModifiedBy>
  <cp:lastPrinted>2022-10-13T02:05:15Z</cp:lastPrinted>
  <dcterms:modified xsi:type="dcterms:W3CDTF">2022-10-13T02:47:41Z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72632DA4528F4D018432CB5A047109A1</vt:lpwstr>
  </property>
</Properties>
</file>